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Default="005F68BF" w:rsidP="005F68BF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B22F52">
        <w:rPr>
          <w:color w:val="auto"/>
          <w:sz w:val="44"/>
          <w:szCs w:val="44"/>
        </w:rPr>
        <w:t xml:space="preserve">- </w:t>
      </w:r>
      <w:r w:rsidR="00B22F52" w:rsidRPr="00B22F52">
        <w:rPr>
          <w:color w:val="auto"/>
          <w:sz w:val="44"/>
          <w:szCs w:val="44"/>
          <w:highlight w:val="yellow"/>
        </w:rPr>
        <w:t>AAS Environmental Technology</w:t>
      </w:r>
    </w:p>
    <w:p w:rsidR="005F68BF" w:rsidRPr="00F47885" w:rsidRDefault="005F68BF" w:rsidP="005F68BF">
      <w:r>
        <w:t>Expand the table below as needed for your program</w:t>
      </w:r>
      <w:r w:rsidR="00DE321B">
        <w:t xml:space="preserve">.  Please enter </w:t>
      </w:r>
      <w:r w:rsidR="006B5A5C">
        <w:t>all</w:t>
      </w:r>
      <w:r w:rsidR="00DE321B">
        <w:t xml:space="preserve"> goals and outcomes </w:t>
      </w:r>
      <w:r w:rsidR="006B5A5C">
        <w:t>for your program</w:t>
      </w:r>
      <w:r w:rsidR="00DE321B">
        <w:t>.  You should assess all goals and outcomes within your assessment cycle.</w:t>
      </w:r>
      <w:r w:rsidR="006B5A5C">
        <w:t xml:space="preserve"> Each outcome chosen for assessment during each year should have at least 2 </w:t>
      </w:r>
      <w:r w:rsidR="00CD43AC">
        <w:t>rounds of assessment during that year.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1801"/>
        <w:gridCol w:w="990"/>
        <w:gridCol w:w="1714"/>
        <w:gridCol w:w="1835"/>
        <w:gridCol w:w="413"/>
        <w:gridCol w:w="3071"/>
      </w:tblGrid>
      <w:tr w:rsidR="00DF526E" w:rsidRPr="004378A7" w:rsidTr="007B1E00">
        <w:trPr>
          <w:trHeight w:hRule="exact" w:val="456"/>
        </w:trPr>
        <w:tc>
          <w:tcPr>
            <w:tcW w:w="7397" w:type="dxa"/>
            <w:gridSpan w:val="6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F526E" w:rsidRPr="007F2E97" w:rsidRDefault="007F2E97" w:rsidP="009C4332">
            <w:pPr>
              <w:rPr>
                <w:b/>
                <w:sz w:val="24"/>
                <w:szCs w:val="24"/>
              </w:rPr>
            </w:pPr>
            <w:r w:rsidRPr="007F2E97">
              <w:rPr>
                <w:b/>
                <w:sz w:val="24"/>
                <w:szCs w:val="24"/>
              </w:rPr>
              <w:t>Academic Program Assessment Plan Template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10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Da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-3"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S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u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b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m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i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d</w:t>
            </w:r>
          </w:p>
        </w:tc>
        <w:tc>
          <w:tcPr>
            <w:tcW w:w="531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B22F52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12/2018</w:t>
            </w:r>
          </w:p>
        </w:tc>
      </w:tr>
      <w:tr w:rsidR="00DF526E" w:rsidRPr="004378A7" w:rsidTr="00154A20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26E" w:rsidRPr="004378A7" w:rsidRDefault="00154A20" w:rsidP="0015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Default="00154A20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AAS in Environmental Technology</w:t>
            </w:r>
          </w:p>
          <w:p w:rsidR="00154A20" w:rsidRPr="004378A7" w:rsidRDefault="00154A20" w:rsidP="009C4332">
            <w:pPr>
              <w:rPr>
                <w:sz w:val="20"/>
                <w:szCs w:val="20"/>
              </w:rPr>
            </w:pP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375295" w:rsidRDefault="00DF526E" w:rsidP="00375295">
            <w:p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E" w:rsidRDefault="00B22F52" w:rsidP="00B22F52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Alvestad</w:t>
            </w:r>
            <w:proofErr w:type="spellEnd"/>
            <w:r>
              <w:rPr>
                <w:sz w:val="20"/>
                <w:szCs w:val="20"/>
              </w:rPr>
              <w:t>, DC, Math, Science and Engineering</w:t>
            </w:r>
          </w:p>
          <w:p w:rsidR="00B22F52" w:rsidRDefault="00B22F52" w:rsidP="00B22F52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5" w:history="1">
              <w:r w:rsidRPr="0001099C">
                <w:rPr>
                  <w:rStyle w:val="Hyperlink"/>
                  <w:sz w:val="20"/>
                  <w:szCs w:val="20"/>
                </w:rPr>
                <w:t>Irina@unm.edu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B22F52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B22F52" w:rsidP="00B22F52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12/15/2018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B22F52" w:rsidP="00B22F52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B22F52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sz w:val="20"/>
                <w:szCs w:val="20"/>
              </w:rPr>
            </w:pPr>
            <w:r w:rsidRPr="00B22F5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B22F52" w:rsidRDefault="00B22F52" w:rsidP="00B22F5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B22F52">
              <w:rPr>
                <w:b/>
                <w:sz w:val="20"/>
                <w:szCs w:val="20"/>
              </w:rPr>
              <w:t xml:space="preserve">This program prepare students with entry-level technician skills with a broad foundation in biology, chemistry, and environmental science. 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375295" w:rsidRPr="004378A7" w:rsidTr="00842829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6D1743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skills related to collecting and analyzing field samples utilizing the appropriate chain of custody procedures.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E" w:rsidRDefault="00842829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offered</w:t>
            </w:r>
          </w:p>
          <w:p w:rsidR="00CC5DBE" w:rsidRDefault="00CC5DBE" w:rsidP="00842829">
            <w:pPr>
              <w:spacing w:after="4"/>
              <w:jc w:val="center"/>
              <w:rPr>
                <w:sz w:val="20"/>
                <w:szCs w:val="20"/>
              </w:rPr>
            </w:pPr>
          </w:p>
          <w:p w:rsidR="00CC5DBE" w:rsidRPr="004378A7" w:rsidRDefault="00CC5DBE" w:rsidP="00842829">
            <w:pPr>
              <w:spacing w:after="4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F6FEB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  <w:r w:rsidR="00842829">
              <w:rPr>
                <w:sz w:val="20"/>
                <w:szCs w:val="20"/>
              </w:rPr>
              <w:t>, Responsibility</w:t>
            </w: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6" w:rsidRDefault="00E215B5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Pr="00842829">
              <w:rPr>
                <w:b/>
                <w:sz w:val="20"/>
                <w:szCs w:val="20"/>
              </w:rPr>
              <w:t>ENTC 201</w:t>
            </w:r>
            <w:r w:rsidR="003F6FEB" w:rsidRPr="00842829">
              <w:rPr>
                <w:b/>
                <w:sz w:val="20"/>
                <w:szCs w:val="20"/>
              </w:rPr>
              <w:t>L – Field Methods I</w:t>
            </w:r>
            <w:r w:rsidR="00345C56" w:rsidRPr="00842829">
              <w:rPr>
                <w:b/>
                <w:sz w:val="20"/>
                <w:szCs w:val="20"/>
              </w:rPr>
              <w:t xml:space="preserve"> (4)</w:t>
            </w:r>
            <w:r w:rsidR="003F6FEB">
              <w:rPr>
                <w:sz w:val="20"/>
                <w:szCs w:val="20"/>
              </w:rPr>
              <w:t xml:space="preserve"> </w:t>
            </w:r>
          </w:p>
          <w:p w:rsidR="00842829" w:rsidRDefault="00842829" w:rsidP="00842829">
            <w:pPr>
              <w:spacing w:after="4"/>
              <w:rPr>
                <w:sz w:val="20"/>
                <w:szCs w:val="20"/>
              </w:rPr>
            </w:pPr>
          </w:p>
          <w:p w:rsidR="00842829" w:rsidRDefault="00842829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842829" w:rsidRPr="00D83263" w:rsidRDefault="00842829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</w:t>
            </w:r>
            <w:r>
              <w:rPr>
                <w:sz w:val="20"/>
                <w:szCs w:val="20"/>
              </w:rPr>
              <w:lastRenderedPageBreak/>
              <w:t xml:space="preserve">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842829" w:rsidRPr="004378A7" w:rsidRDefault="00842829" w:rsidP="00842829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60406E" w:rsidP="00345C56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Performance Target: 75% of students will perform with a score 75% or better.</w:t>
            </w:r>
          </w:p>
        </w:tc>
      </w:tr>
      <w:tr w:rsidR="00375295" w:rsidRPr="004378A7" w:rsidTr="00842829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842829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how to operate and maintain water, soil, and air sampling equipment.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6" w:rsidRPr="004378A7" w:rsidRDefault="00842829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offered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842829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Skills, Responsibility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9" w:rsidRDefault="00842829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Pr="00842829">
              <w:rPr>
                <w:b/>
                <w:sz w:val="20"/>
                <w:szCs w:val="20"/>
              </w:rPr>
              <w:t>ENTC 202L – Field Methods II</w:t>
            </w:r>
            <w:r>
              <w:rPr>
                <w:sz w:val="20"/>
                <w:szCs w:val="20"/>
              </w:rPr>
              <w:t xml:space="preserve"> </w:t>
            </w:r>
          </w:p>
          <w:p w:rsidR="00E545A6" w:rsidRDefault="00E545A6" w:rsidP="00842829">
            <w:pPr>
              <w:spacing w:after="4"/>
              <w:rPr>
                <w:sz w:val="20"/>
                <w:szCs w:val="20"/>
              </w:rPr>
            </w:pPr>
          </w:p>
          <w:p w:rsidR="00842829" w:rsidRDefault="00842829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842829" w:rsidRPr="00D83263" w:rsidRDefault="00842829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842829" w:rsidRPr="004378A7" w:rsidRDefault="00842829" w:rsidP="00842829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842829" w:rsidP="00345C56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  <w:bookmarkStart w:id="0" w:name="_GoBack"/>
            <w:bookmarkEnd w:id="0"/>
          </w:p>
        </w:tc>
      </w:tr>
      <w:tr w:rsidR="00842829" w:rsidRPr="004378A7" w:rsidTr="00842829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29" w:rsidRPr="000C5025" w:rsidRDefault="00842829" w:rsidP="008428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Students will demonstrate </w:t>
            </w:r>
            <w:r w:rsidRPr="000C5025">
              <w:rPr>
                <w:rFonts w:cs="Arial"/>
                <w:bCs/>
                <w:sz w:val="20"/>
                <w:szCs w:val="20"/>
              </w:rPr>
              <w:t>knowledge, skills and disposition for responsibility regarding principles, theories and methods of scientific inquiry associated with</w:t>
            </w:r>
          </w:p>
          <w:p w:rsidR="00842829" w:rsidRPr="004378A7" w:rsidRDefault="00842829" w:rsidP="00842829">
            <w:pPr>
              <w:spacing w:after="4"/>
              <w:rPr>
                <w:sz w:val="20"/>
                <w:szCs w:val="20"/>
              </w:rPr>
            </w:pPr>
            <w:proofErr w:type="gramStart"/>
            <w:r w:rsidRPr="000C5025">
              <w:rPr>
                <w:rFonts w:cs="Arial"/>
                <w:bCs/>
                <w:sz w:val="20"/>
                <w:szCs w:val="20"/>
              </w:rPr>
              <w:t>physical</w:t>
            </w:r>
            <w:proofErr w:type="gramEnd"/>
            <w:r w:rsidRPr="000C5025">
              <w:rPr>
                <w:rFonts w:cs="Arial"/>
                <w:bCs/>
                <w:sz w:val="20"/>
                <w:szCs w:val="20"/>
              </w:rPr>
              <w:t xml:space="preserve"> and natural sciences</w:t>
            </w:r>
            <w:r>
              <w:rPr>
                <w:rFonts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29" w:rsidRPr="00346CC9" w:rsidRDefault="00842829" w:rsidP="00842829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29" w:rsidRDefault="00842829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842829" w:rsidRDefault="00842829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842829" w:rsidRPr="004378A7" w:rsidRDefault="00842829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9" w:rsidRPr="000C5025" w:rsidRDefault="00842829" w:rsidP="00842829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>Course: ENVS 101: The Blue Planet</w:t>
            </w:r>
          </w:p>
          <w:p w:rsidR="00842829" w:rsidRDefault="00842829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take a final exam in which key exam questions </w:t>
            </w:r>
            <w:proofErr w:type="gramStart"/>
            <w:r>
              <w:rPr>
                <w:sz w:val="20"/>
                <w:szCs w:val="20"/>
              </w:rPr>
              <w:t>will be assessed</w:t>
            </w:r>
            <w:proofErr w:type="gramEnd"/>
            <w:r>
              <w:rPr>
                <w:sz w:val="20"/>
                <w:szCs w:val="20"/>
              </w:rPr>
              <w:t xml:space="preserve"> for demonstrated understanding of the knowledge and skills identified in the UNM/HED Common SLOs for this course. </w:t>
            </w:r>
          </w:p>
          <w:p w:rsidR="00842829" w:rsidRPr="004378A7" w:rsidRDefault="00842829" w:rsidP="00842829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29" w:rsidRPr="004378A7" w:rsidRDefault="00842829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</w:tc>
      </w:tr>
      <w:tr w:rsidR="00B22F52" w:rsidRPr="004378A7" w:rsidTr="00842829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4378A7" w:rsidRDefault="00B22F52" w:rsidP="00B22F52">
            <w:pPr>
              <w:spacing w:after="4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solve a problem in chemistry scientifically using the appropriate skills and equipment while employing ethical critical thinking skills.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4378A7" w:rsidRDefault="00B22F52" w:rsidP="00B22F5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Yearly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4378A7" w:rsidRDefault="00B22F52" w:rsidP="00842829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S, &amp; R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Default="00B22F52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 </w:t>
            </w:r>
            <w:r w:rsidRPr="00D83263">
              <w:rPr>
                <w:b/>
                <w:sz w:val="20"/>
                <w:szCs w:val="20"/>
              </w:rPr>
              <w:t>CHEM 121 &amp; 123L: General Chemistry I and Lab</w:t>
            </w:r>
          </w:p>
          <w:p w:rsidR="00B22F52" w:rsidRDefault="00B22F52" w:rsidP="00842829">
            <w:pPr>
              <w:spacing w:after="4"/>
              <w:rPr>
                <w:sz w:val="20"/>
                <w:szCs w:val="20"/>
              </w:rPr>
            </w:pPr>
          </w:p>
          <w:p w:rsidR="00B22F52" w:rsidRDefault="00B22F52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B22F52" w:rsidRPr="00D83263" w:rsidRDefault="00B22F52" w:rsidP="0084282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B22F52" w:rsidRPr="004378A7" w:rsidRDefault="00B22F52" w:rsidP="00842829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4378A7" w:rsidRDefault="00B22F52" w:rsidP="00B22F52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</w:tbl>
    <w:p w:rsidR="0091303A" w:rsidRPr="007B1E00" w:rsidRDefault="0091303A" w:rsidP="007B1E00">
      <w:pPr>
        <w:spacing w:after="4"/>
        <w:rPr>
          <w:sz w:val="20"/>
          <w:szCs w:val="20"/>
        </w:rPr>
      </w:pPr>
    </w:p>
    <w:sectPr w:rsidR="0091303A" w:rsidRPr="007B1E00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F65F7"/>
    <w:rsid w:val="001302BE"/>
    <w:rsid w:val="00154A20"/>
    <w:rsid w:val="001E4F37"/>
    <w:rsid w:val="00221D12"/>
    <w:rsid w:val="00296283"/>
    <w:rsid w:val="002F20AF"/>
    <w:rsid w:val="003014FE"/>
    <w:rsid w:val="00306EC3"/>
    <w:rsid w:val="00345C56"/>
    <w:rsid w:val="00375295"/>
    <w:rsid w:val="003F6FEB"/>
    <w:rsid w:val="004E384C"/>
    <w:rsid w:val="00562038"/>
    <w:rsid w:val="005F68BF"/>
    <w:rsid w:val="0060406E"/>
    <w:rsid w:val="00607C8F"/>
    <w:rsid w:val="006B08F8"/>
    <w:rsid w:val="006B5A5C"/>
    <w:rsid w:val="006D1743"/>
    <w:rsid w:val="006D1A08"/>
    <w:rsid w:val="0075519F"/>
    <w:rsid w:val="007625AE"/>
    <w:rsid w:val="007925F5"/>
    <w:rsid w:val="007B1E00"/>
    <w:rsid w:val="007D1430"/>
    <w:rsid w:val="007E081D"/>
    <w:rsid w:val="007F2E97"/>
    <w:rsid w:val="00842829"/>
    <w:rsid w:val="0091303A"/>
    <w:rsid w:val="009F2133"/>
    <w:rsid w:val="009F3203"/>
    <w:rsid w:val="00A53B08"/>
    <w:rsid w:val="00B22F52"/>
    <w:rsid w:val="00B81F1B"/>
    <w:rsid w:val="00C066DF"/>
    <w:rsid w:val="00C328E3"/>
    <w:rsid w:val="00CC5DBE"/>
    <w:rsid w:val="00CD43AC"/>
    <w:rsid w:val="00DB21E8"/>
    <w:rsid w:val="00DE321B"/>
    <w:rsid w:val="00DF526E"/>
    <w:rsid w:val="00E215B5"/>
    <w:rsid w:val="00E545A6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3131"/>
  <w15:docId w15:val="{1774C34F-6CD3-4530-8200-DF2AFA3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22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2</cp:revision>
  <dcterms:created xsi:type="dcterms:W3CDTF">2018-02-20T16:53:00Z</dcterms:created>
  <dcterms:modified xsi:type="dcterms:W3CDTF">2018-02-20T16:53:00Z</dcterms:modified>
</cp:coreProperties>
</file>